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jc w:val="center"/>
        <w:rPr>
          <w:rStyle w:val="apple-converted-space"/>
          <w:sz w:val="22"/>
          <w:szCs w:val="22"/>
        </w:rPr>
      </w:pPr>
      <w:r>
        <w:rPr>
          <w:rStyle w:val="apple-converted-space"/>
          <w:rFonts w:ascii="Arial" w:hAnsi="Arial"/>
          <w:b w:val="1"/>
          <w:bCs w:val="1"/>
          <w:color w:val="222222"/>
          <w:sz w:val="22"/>
          <w:szCs w:val="22"/>
          <w:u w:color="222222"/>
          <w:shd w:val="clear" w:color="auto" w:fill="ffffff"/>
          <w:rtl w:val="0"/>
          <w:lang w:val="en-US"/>
        </w:rPr>
        <w:t>CashOrCard is a Finalist for the 2015 Red Herring Top 100 Europe Award</w:t>
      </w:r>
    </w:p>
    <w:p>
      <w:pPr>
        <w:pStyle w:val="Body"/>
        <w:shd w:val="clear" w:color="auto" w:fill="ffffff"/>
        <w:spacing w:line="240" w:lineRule="atLeast"/>
        <w:rPr>
          <w:rStyle w:val="apple-converted-space"/>
          <w:color w:val="222222"/>
          <w:sz w:val="22"/>
          <w:szCs w:val="22"/>
          <w:u w:color="222222"/>
        </w:rPr>
      </w:pPr>
      <w:r>
        <w:rPr>
          <w:rStyle w:val="apple-converted-space"/>
          <w:rFonts w:ascii="Arial" w:hAnsi="Arial" w:hint="default"/>
          <w:color w:val="222222"/>
          <w:sz w:val="22"/>
          <w:szCs w:val="22"/>
          <w:u w:color="222222"/>
          <w:rtl w:val="0"/>
          <w:lang w:val="en-US"/>
        </w:rPr>
        <w:t> </w:t>
      </w:r>
    </w:p>
    <w:p>
      <w:pPr>
        <w:pStyle w:val="Body"/>
        <w:shd w:val="clear" w:color="auto" w:fill="ffffff"/>
        <w:spacing w:line="240" w:lineRule="atLeast"/>
        <w:rPr>
          <w:rStyle w:val="apple-converted-space"/>
          <w:color w:val="222222"/>
          <w:sz w:val="22"/>
          <w:szCs w:val="22"/>
          <w:u w:color="222222"/>
        </w:rPr>
      </w:pPr>
      <w:r>
        <w:rPr>
          <w:rStyle w:val="apple-converted-space"/>
          <w:rFonts w:ascii="Arial" w:hAnsi="Arial" w:hint="default"/>
          <w:color w:val="222222"/>
          <w:sz w:val="22"/>
          <w:szCs w:val="22"/>
          <w:u w:color="222222"/>
          <w:rtl w:val="0"/>
          <w:lang w:val="en-US"/>
        </w:rPr>
        <w:t> </w:t>
      </w:r>
    </w:p>
    <w:p>
      <w:pPr>
        <w:pStyle w:val="Body"/>
        <w:shd w:val="clear" w:color="auto" w:fill="ffffff"/>
        <w:spacing w:line="240" w:lineRule="atLeast"/>
        <w:rPr>
          <w:rStyle w:val="apple-converted-space"/>
          <w:color w:val="222222"/>
          <w:sz w:val="22"/>
          <w:szCs w:val="22"/>
          <w:u w:color="222222"/>
        </w:rPr>
      </w:pPr>
      <w:r>
        <w:rPr>
          <w:rStyle w:val="apple-converted-space"/>
          <w:rFonts w:ascii="Arial" w:hAnsi="Arial"/>
          <w:b w:val="1"/>
          <w:bCs w:val="1"/>
          <w:color w:val="222222"/>
          <w:sz w:val="22"/>
          <w:szCs w:val="22"/>
          <w:u w:color="222222"/>
          <w:rtl w:val="0"/>
          <w:lang w:val="nl-NL"/>
        </w:rPr>
        <w:t>Amsterdam</w:t>
      </w:r>
      <w:r>
        <w:rPr>
          <w:rStyle w:val="apple-converted-space"/>
          <w:rFonts w:ascii="Arial" w:hAnsi="Arial" w:hint="default"/>
          <w:color w:val="222222"/>
          <w:sz w:val="22"/>
          <w:szCs w:val="22"/>
          <w:u w:color="222222"/>
          <w:rtl w:val="0"/>
          <w:lang w:val="en-US"/>
        </w:rPr>
        <w:t> – </w:t>
      </w:r>
      <w:r>
        <w:rPr>
          <w:rStyle w:val="apple-converted-space"/>
          <w:rFonts w:ascii="Arial" w:hAnsi="Arial"/>
          <w:b w:val="1"/>
          <w:bCs w:val="1"/>
          <w:color w:val="222222"/>
          <w:sz w:val="22"/>
          <w:szCs w:val="22"/>
          <w:u w:color="222222"/>
          <w:rtl w:val="0"/>
        </w:rPr>
        <w:t>April 7</w:t>
      </w:r>
      <w:r>
        <w:rPr>
          <w:rStyle w:val="apple-converted-space"/>
          <w:rFonts w:ascii="Arial" w:hAnsi="Arial"/>
          <w:b w:val="1"/>
          <w:bCs w:val="1"/>
          <w:color w:val="222222"/>
          <w:sz w:val="22"/>
          <w:szCs w:val="22"/>
          <w:u w:color="222222"/>
          <w:vertAlign w:val="superscript"/>
          <w:rtl w:val="0"/>
          <w:lang w:val="en-US"/>
        </w:rPr>
        <w:t>th</w:t>
      </w:r>
      <w:r>
        <w:rPr>
          <w:rStyle w:val="apple-converted-space"/>
          <w:rFonts w:ascii="Arial" w:hAnsi="Arial"/>
          <w:b w:val="1"/>
          <w:bCs w:val="1"/>
          <w:color w:val="222222"/>
          <w:sz w:val="22"/>
          <w:szCs w:val="22"/>
          <w:u w:color="222222"/>
          <w:rtl w:val="0"/>
        </w:rPr>
        <w:t>, 2015</w:t>
      </w:r>
      <w:r>
        <w:rPr>
          <w:rStyle w:val="apple-converted-space"/>
          <w:rFonts w:ascii="Arial" w:hAnsi="Arial" w:hint="default"/>
          <w:color w:val="222222"/>
          <w:sz w:val="22"/>
          <w:szCs w:val="22"/>
          <w:u w:color="222222"/>
          <w:rtl w:val="0"/>
          <w:lang w:val="en-US"/>
        </w:rPr>
        <w:t xml:space="preserve"> – </w:t>
      </w:r>
      <w:r>
        <w:rPr>
          <w:rStyle w:val="apple-converted-space"/>
          <w:rFonts w:ascii="Arial" w:hAnsi="Arial"/>
          <w:color w:val="222222"/>
          <w:sz w:val="22"/>
          <w:szCs w:val="22"/>
          <w:u w:color="222222"/>
          <w:rtl w:val="0"/>
          <w:lang w:val="en-US"/>
        </w:rPr>
        <w:t xml:space="preserve">CashOrCard announced today it has been selected as a </w:t>
      </w:r>
      <w:r>
        <w:rPr>
          <w:rStyle w:val="Hyperlink.0"/>
        </w:rPr>
        <w:fldChar w:fldCharType="begin" w:fldLock="0"/>
      </w:r>
      <w:r>
        <w:rPr>
          <w:rStyle w:val="Hyperlink.0"/>
        </w:rPr>
        <w:instrText xml:space="preserve"> HYPERLINK "http://www.redherring.com/events/red-herring-europe/2015-finalists/"</w:instrText>
      </w:r>
      <w:r>
        <w:rPr>
          <w:rStyle w:val="Hyperlink.0"/>
        </w:rPr>
        <w:fldChar w:fldCharType="separate" w:fldLock="0"/>
      </w:r>
      <w:r>
        <w:rPr>
          <w:rStyle w:val="Hyperlink.0"/>
          <w:rtl w:val="0"/>
        </w:rPr>
        <w:t>Finalist</w:t>
      </w:r>
      <w:r>
        <w:rPr/>
        <w:fldChar w:fldCharType="end" w:fldLock="0"/>
      </w:r>
      <w:r>
        <w:rPr>
          <w:rStyle w:val="apple-converted-space"/>
          <w:rFonts w:ascii="Arial" w:hAnsi="Arial"/>
          <w:color w:val="222222"/>
          <w:sz w:val="22"/>
          <w:szCs w:val="22"/>
          <w:u w:color="222222"/>
          <w:rtl w:val="0"/>
          <w:lang w:val="da-DK"/>
        </w:rPr>
        <w:t xml:space="preserve"> for Red Herring's </w:t>
      </w:r>
      <w:r>
        <w:rPr>
          <w:rStyle w:val="Hyperlink.0"/>
        </w:rPr>
        <w:fldChar w:fldCharType="begin" w:fldLock="0"/>
      </w:r>
      <w:r>
        <w:rPr>
          <w:rStyle w:val="Hyperlink.0"/>
        </w:rPr>
        <w:instrText xml:space="preserve"> HYPERLINK "http://www.redherring.com/events/red-herring-europe/2015-finalists/"</w:instrText>
      </w:r>
      <w:r>
        <w:rPr>
          <w:rStyle w:val="Hyperlink.0"/>
        </w:rPr>
        <w:fldChar w:fldCharType="separate" w:fldLock="0"/>
      </w:r>
      <w:r>
        <w:rPr>
          <w:rStyle w:val="Hyperlink.0"/>
          <w:rtl w:val="0"/>
          <w:lang w:val="en-US"/>
        </w:rPr>
        <w:t>Top 100 Europe award</w:t>
      </w:r>
      <w:r>
        <w:rPr/>
        <w:fldChar w:fldCharType="end" w:fldLock="0"/>
      </w:r>
      <w:r>
        <w:rPr>
          <w:rStyle w:val="apple-converted-space"/>
          <w:rFonts w:ascii="Arial" w:hAnsi="Arial"/>
          <w:color w:val="222222"/>
          <w:sz w:val="22"/>
          <w:szCs w:val="22"/>
          <w:u w:color="222222"/>
          <w:rtl w:val="0"/>
          <w:lang w:val="en-US"/>
        </w:rPr>
        <w:t>, a prestigious list honoring the year</w:t>
      </w:r>
      <w:r>
        <w:rPr>
          <w:rStyle w:val="apple-converted-space"/>
          <w:rFonts w:ascii="Arial" w:hAnsi="Arial" w:hint="default"/>
          <w:color w:val="222222"/>
          <w:sz w:val="22"/>
          <w:szCs w:val="22"/>
          <w:u w:color="222222"/>
          <w:rtl w:val="0"/>
          <w:lang w:val="en-US"/>
        </w:rPr>
        <w:t>’</w:t>
      </w:r>
      <w:r>
        <w:rPr>
          <w:rStyle w:val="apple-converted-space"/>
          <w:rFonts w:ascii="Arial" w:hAnsi="Arial"/>
          <w:color w:val="222222"/>
          <w:sz w:val="22"/>
          <w:szCs w:val="22"/>
          <w:u w:color="222222"/>
          <w:rtl w:val="0"/>
          <w:lang w:val="en-US"/>
        </w:rPr>
        <w:t>s most promising private technology ventures from the European business region.</w:t>
      </w:r>
    </w:p>
    <w:p>
      <w:pPr>
        <w:pStyle w:val="Body"/>
        <w:shd w:val="clear" w:color="auto" w:fill="ffffff"/>
        <w:spacing w:line="240" w:lineRule="atLeast"/>
        <w:rPr>
          <w:rStyle w:val="apple-converted-space"/>
          <w:color w:val="222222"/>
          <w:sz w:val="22"/>
          <w:szCs w:val="22"/>
          <w:u w:color="222222"/>
        </w:rPr>
      </w:pPr>
      <w:r>
        <w:rPr>
          <w:rStyle w:val="apple-converted-space"/>
          <w:rFonts w:ascii="Arial" w:hAnsi="Arial" w:hint="default"/>
          <w:color w:val="222222"/>
          <w:sz w:val="22"/>
          <w:szCs w:val="22"/>
          <w:u w:color="222222"/>
          <w:rtl w:val="0"/>
          <w:lang w:val="en-US"/>
        </w:rPr>
        <w:t> </w:t>
      </w:r>
    </w:p>
    <w:p>
      <w:pPr>
        <w:pStyle w:val="Body"/>
        <w:shd w:val="clear" w:color="auto" w:fill="ffffff"/>
        <w:rPr>
          <w:rStyle w:val="apple-converted-space"/>
          <w:color w:val="222222"/>
          <w:sz w:val="22"/>
          <w:szCs w:val="22"/>
          <w:u w:color="222222"/>
        </w:rPr>
      </w:pPr>
      <w:r>
        <w:rPr>
          <w:rStyle w:val="apple-converted-space"/>
          <w:rFonts w:ascii="Arial" w:hAnsi="Arial"/>
          <w:color w:val="222222"/>
          <w:sz w:val="22"/>
          <w:szCs w:val="22"/>
          <w:u w:color="222222"/>
          <w:rtl w:val="0"/>
          <w:lang w:val="en-US"/>
        </w:rPr>
        <w:t>The Red Herring editorial team selected the most innovative companies from a pool of hundreds from across Europe. The nominees are evaluated on 20 main quantitative and qualitative criterion: they include disruptive impact, market</w:t>
      </w:r>
      <w:r>
        <w:rPr>
          <w:rStyle w:val="apple-converted-space"/>
          <w:rFonts w:ascii="Arial" w:hAnsi="Arial" w:hint="default"/>
          <w:color w:val="222222"/>
          <w:sz w:val="22"/>
          <w:szCs w:val="22"/>
          <w:u w:color="222222"/>
          <w:rtl w:val="0"/>
          <w:lang w:val="en-US"/>
        </w:rPr>
        <w:t> </w:t>
      </w:r>
      <w:r>
        <w:rPr>
          <w:rStyle w:val="apple-converted-space"/>
          <w:rFonts w:ascii="Arial" w:hAnsi="Arial"/>
          <w:color w:val="222222"/>
          <w:sz w:val="22"/>
          <w:szCs w:val="22"/>
          <w:u w:color="222222"/>
          <w:rtl w:val="0"/>
          <w:lang w:val="en-US"/>
        </w:rPr>
        <w:t>footprint, proof of concept,</w:t>
      </w:r>
      <w:r>
        <w:rPr>
          <w:rStyle w:val="apple-converted-space"/>
          <w:rFonts w:ascii="Arial" w:hAnsi="Arial" w:hint="default"/>
          <w:color w:val="222222"/>
          <w:sz w:val="22"/>
          <w:szCs w:val="22"/>
          <w:u w:color="222222"/>
          <w:rtl w:val="0"/>
          <w:lang w:val="en-US"/>
        </w:rPr>
        <w:t> </w:t>
      </w:r>
      <w:r>
        <w:rPr>
          <w:rStyle w:val="apple-converted-space"/>
          <w:rFonts w:ascii="Arial" w:hAnsi="Arial"/>
          <w:color w:val="222222"/>
          <w:sz w:val="22"/>
          <w:szCs w:val="22"/>
          <w:u w:color="222222"/>
          <w:rtl w:val="0"/>
          <w:lang w:val="en-US"/>
        </w:rPr>
        <w:t>financial performance, technology innovation, social value, quality of management, execution of strategy, and integration into their respective industries.</w:t>
      </w:r>
    </w:p>
    <w:p>
      <w:pPr>
        <w:pStyle w:val="Body"/>
        <w:shd w:val="clear" w:color="auto" w:fill="ffffff"/>
        <w:spacing w:line="240" w:lineRule="atLeast"/>
        <w:rPr>
          <w:rStyle w:val="apple-converted-space"/>
          <w:color w:val="222222"/>
          <w:sz w:val="22"/>
          <w:szCs w:val="22"/>
          <w:u w:color="222222"/>
        </w:rPr>
      </w:pPr>
      <w:r>
        <w:rPr>
          <w:rStyle w:val="apple-converted-space"/>
          <w:rFonts w:ascii="Arial" w:hAnsi="Arial" w:hint="default"/>
          <w:color w:val="222222"/>
          <w:sz w:val="22"/>
          <w:szCs w:val="22"/>
          <w:u w:color="222222"/>
          <w:rtl w:val="0"/>
          <w:lang w:val="en-US"/>
        </w:rPr>
        <w:t> </w:t>
      </w:r>
    </w:p>
    <w:p>
      <w:pPr>
        <w:pStyle w:val="Body"/>
        <w:shd w:val="clear" w:color="auto" w:fill="ffffff"/>
        <w:spacing w:line="240" w:lineRule="atLeast"/>
        <w:rPr>
          <w:rStyle w:val="apple-converted-space"/>
          <w:color w:val="222222"/>
          <w:sz w:val="22"/>
          <w:szCs w:val="22"/>
          <w:u w:color="222222"/>
        </w:rPr>
      </w:pPr>
      <w:r>
        <w:rPr>
          <w:rStyle w:val="apple-converted-space"/>
          <w:rFonts w:ascii="Arial" w:hAnsi="Arial"/>
          <w:color w:val="222222"/>
          <w:sz w:val="22"/>
          <w:szCs w:val="22"/>
          <w:u w:color="222222"/>
          <w:rtl w:val="0"/>
          <w:lang w:val="en-US"/>
        </w:rPr>
        <w:t xml:space="preserve">This unique assessment of potential is complemented by a review of the actual track record and standing of a company, which allows Red Herring to see past the </w:t>
      </w:r>
      <w:r>
        <w:rPr>
          <w:rStyle w:val="apple-converted-space"/>
          <w:rFonts w:ascii="Arial" w:hAnsi="Arial" w:hint="default"/>
          <w:color w:val="222222"/>
          <w:sz w:val="22"/>
          <w:szCs w:val="22"/>
          <w:u w:color="222222"/>
          <w:rtl w:val="0"/>
          <w:lang w:val="en-US"/>
        </w:rPr>
        <w:t>“</w:t>
      </w:r>
      <w:r>
        <w:rPr>
          <w:rStyle w:val="apple-converted-space"/>
          <w:rFonts w:ascii="Arial" w:hAnsi="Arial"/>
          <w:color w:val="222222"/>
          <w:sz w:val="22"/>
          <w:szCs w:val="22"/>
          <w:u w:color="222222"/>
          <w:rtl w:val="0"/>
          <w:lang w:val="it-IT"/>
        </w:rPr>
        <w:t>buzz</w:t>
      </w:r>
      <w:r>
        <w:rPr>
          <w:rStyle w:val="apple-converted-space"/>
          <w:rFonts w:ascii="Arial" w:hAnsi="Arial" w:hint="default"/>
          <w:color w:val="222222"/>
          <w:sz w:val="22"/>
          <w:szCs w:val="22"/>
          <w:u w:color="222222"/>
          <w:rtl w:val="0"/>
          <w:lang w:val="en-US"/>
        </w:rPr>
        <w:t xml:space="preserve">” </w:t>
      </w:r>
      <w:r>
        <w:rPr>
          <w:rStyle w:val="apple-converted-space"/>
          <w:rFonts w:ascii="Arial" w:hAnsi="Arial"/>
          <w:color w:val="222222"/>
          <w:sz w:val="22"/>
          <w:szCs w:val="22"/>
          <w:u w:color="222222"/>
          <w:rtl w:val="0"/>
          <w:lang w:val="en-US"/>
        </w:rPr>
        <w:t>and make the list a valuable instrument for discovering and advocating the greatest business opportunities in the industry.</w:t>
      </w:r>
    </w:p>
    <w:p>
      <w:pPr>
        <w:pStyle w:val="Body"/>
        <w:shd w:val="clear" w:color="auto" w:fill="ffffff"/>
        <w:spacing w:line="240" w:lineRule="atLeast"/>
        <w:rPr>
          <w:rStyle w:val="apple-converted-space"/>
          <w:color w:val="222222"/>
          <w:sz w:val="22"/>
          <w:szCs w:val="22"/>
          <w:u w:color="222222"/>
        </w:rPr>
      </w:pPr>
      <w:r>
        <w:rPr>
          <w:rStyle w:val="apple-converted-space"/>
          <w:rFonts w:ascii="Arial" w:hAnsi="Arial" w:hint="default"/>
          <w:color w:val="222222"/>
          <w:sz w:val="22"/>
          <w:szCs w:val="22"/>
          <w:u w:color="222222"/>
          <w:rtl w:val="0"/>
          <w:lang w:val="en-US"/>
        </w:rPr>
        <w:t> </w:t>
      </w:r>
    </w:p>
    <w:p>
      <w:pPr>
        <w:pStyle w:val="Body"/>
        <w:shd w:val="clear" w:color="auto" w:fill="ffffff"/>
        <w:spacing w:line="240" w:lineRule="atLeast"/>
        <w:rPr>
          <w:rStyle w:val="apple-converted-space"/>
          <w:color w:val="222222"/>
          <w:sz w:val="22"/>
          <w:szCs w:val="22"/>
          <w:u w:color="222222"/>
        </w:rPr>
      </w:pPr>
      <w:r>
        <w:rPr>
          <w:rStyle w:val="apple-converted-space"/>
          <w:rFonts w:ascii="Arial" w:hAnsi="Arial"/>
          <w:color w:val="222222"/>
          <w:sz w:val="22"/>
          <w:szCs w:val="22"/>
          <w:u w:color="222222"/>
          <w:rtl w:val="0"/>
          <w:lang w:val="en-US"/>
        </w:rPr>
        <w:t>"This year was rewarding, beyond all expectations" said Alex Vieux, publisher and CEO of Red Herring. "There are many great companies producing really innovative and amazing products in Europe. We had a very difficult time narrowing the pool and selecting the finalists. CashOrCard shows great promise and therefore deserves to be among the Finalists. Now we</w:t>
      </w:r>
      <w:r>
        <w:rPr>
          <w:rStyle w:val="apple-converted-space"/>
          <w:rFonts w:ascii="Arial" w:hAnsi="Arial" w:hint="default"/>
          <w:color w:val="222222"/>
          <w:sz w:val="22"/>
          <w:szCs w:val="22"/>
          <w:u w:color="222222"/>
          <w:rtl w:val="0"/>
          <w:lang w:val="en-US"/>
        </w:rPr>
        <w:t>’</w:t>
      </w:r>
      <w:r>
        <w:rPr>
          <w:rStyle w:val="apple-converted-space"/>
          <w:rFonts w:ascii="Arial" w:hAnsi="Arial"/>
          <w:color w:val="222222"/>
          <w:sz w:val="22"/>
          <w:szCs w:val="22"/>
          <w:u w:color="222222"/>
          <w:rtl w:val="0"/>
          <w:lang w:val="en-US"/>
        </w:rPr>
        <w:t>re faced with the difficult task of selecting the Top 100 winners of Red Herring Europe. We know that the 2015 crop will grow into some amazing companies that are sure to make an impact."</w:t>
      </w:r>
    </w:p>
    <w:p>
      <w:pPr>
        <w:pStyle w:val="Body"/>
        <w:shd w:val="clear" w:color="auto" w:fill="ffffff"/>
        <w:spacing w:line="240" w:lineRule="atLeast"/>
        <w:rPr>
          <w:rStyle w:val="apple-converted-space"/>
          <w:color w:val="222222"/>
          <w:sz w:val="22"/>
          <w:szCs w:val="22"/>
          <w:u w:color="222222"/>
        </w:rPr>
      </w:pPr>
      <w:r>
        <w:rPr>
          <w:rStyle w:val="apple-converted-space"/>
          <w:rFonts w:ascii="Arial" w:hAnsi="Arial" w:hint="default"/>
          <w:color w:val="222222"/>
          <w:sz w:val="22"/>
          <w:szCs w:val="22"/>
          <w:u w:color="222222"/>
          <w:rtl w:val="0"/>
          <w:lang w:val="en-US"/>
        </w:rPr>
        <w:t> </w:t>
      </w:r>
    </w:p>
    <w:p>
      <w:pPr>
        <w:pStyle w:val="Body"/>
        <w:shd w:val="clear" w:color="auto" w:fill="ffffff"/>
        <w:spacing w:line="240" w:lineRule="atLeast"/>
        <w:rPr>
          <w:rStyle w:val="apple-converted-space"/>
          <w:color w:val="222222"/>
          <w:sz w:val="22"/>
          <w:szCs w:val="22"/>
          <w:u w:color="222222"/>
        </w:rPr>
      </w:pPr>
      <w:r>
        <w:rPr>
          <w:rStyle w:val="apple-converted-space"/>
          <w:rFonts w:ascii="Arial" w:hAnsi="Arial"/>
          <w:color w:val="222222"/>
          <w:sz w:val="22"/>
          <w:szCs w:val="22"/>
          <w:u w:color="222222"/>
          <w:rtl w:val="0"/>
          <w:lang w:val="en-US"/>
        </w:rPr>
        <w:t>Finalists</w:t>
      </w:r>
      <w:r>
        <w:rPr>
          <w:rStyle w:val="apple-converted-space"/>
          <w:rFonts w:ascii="Arial" w:hAnsi="Arial" w:hint="default"/>
          <w:color w:val="222222"/>
          <w:sz w:val="22"/>
          <w:szCs w:val="22"/>
          <w:u w:color="222222"/>
          <w:rtl w:val="0"/>
          <w:lang w:val="en-US"/>
        </w:rPr>
        <w:t> </w:t>
      </w:r>
      <w:r>
        <w:rPr>
          <w:rStyle w:val="apple-converted-space"/>
          <w:rFonts w:ascii="Arial" w:hAnsi="Arial"/>
          <w:color w:val="222222"/>
          <w:sz w:val="22"/>
          <w:szCs w:val="22"/>
          <w:u w:color="222222"/>
          <w:rtl w:val="0"/>
          <w:lang w:val="en-US"/>
        </w:rPr>
        <w:t>for the 2015 edition of the Red Herring 100 Europe award are selected based upon their technological innovation, management strength, market size, investor record, customer acquisition, and financial health. During the months leading up to the announcement, hundreds of companies in the telecommunications, security, Web 2.0, software, hardware, biotech, mobile and other industries completed their submissions to qualify for the award.</w:t>
      </w:r>
    </w:p>
    <w:p>
      <w:pPr>
        <w:pStyle w:val="Body"/>
        <w:shd w:val="clear" w:color="auto" w:fill="ffffff"/>
        <w:spacing w:line="240" w:lineRule="atLeast"/>
        <w:rPr>
          <w:rStyle w:val="apple-converted-space"/>
          <w:color w:val="222222"/>
          <w:sz w:val="22"/>
          <w:szCs w:val="22"/>
          <w:u w:color="222222"/>
        </w:rPr>
      </w:pPr>
      <w:r>
        <w:rPr>
          <w:rStyle w:val="apple-converted-space"/>
          <w:rFonts w:ascii="Arial" w:hAnsi="Arial" w:hint="default"/>
          <w:color w:val="222222"/>
          <w:sz w:val="22"/>
          <w:szCs w:val="22"/>
          <w:u w:color="222222"/>
          <w:rtl w:val="0"/>
          <w:lang w:val="en-US"/>
        </w:rPr>
        <w:t> </w:t>
      </w:r>
    </w:p>
    <w:p>
      <w:pPr>
        <w:pStyle w:val="Body"/>
        <w:shd w:val="clear" w:color="auto" w:fill="ffffff"/>
        <w:spacing w:line="240" w:lineRule="atLeast"/>
        <w:rPr>
          <w:rStyle w:val="apple-converted-space"/>
          <w:color w:val="222222"/>
          <w:sz w:val="22"/>
          <w:szCs w:val="22"/>
          <w:u w:color="222222"/>
        </w:rPr>
      </w:pPr>
      <w:r>
        <w:rPr>
          <w:rStyle w:val="apple-converted-space"/>
          <w:rFonts w:ascii="Arial" w:hAnsi="Arial"/>
          <w:color w:val="222222"/>
          <w:sz w:val="22"/>
          <w:szCs w:val="22"/>
          <w:u w:color="222222"/>
          <w:rtl w:val="0"/>
          <w:lang w:val="en-US"/>
        </w:rPr>
        <w:t>The Finalists are invited to present their winning strategies at the Red Herring Europe Forum in Amsterdam, April 13-15, 2015. The Top 100 winners will be announced at a special awards ceremony the evening of April 15 at the event.</w:t>
      </w:r>
    </w:p>
    <w:p>
      <w:pPr>
        <w:pStyle w:val="Body"/>
        <w:spacing w:line="240" w:lineRule="atLeast"/>
        <w:rPr>
          <w:rStyle w:val="apple-converted-space"/>
          <w:rFonts w:ascii="Arial" w:cs="Arial" w:hAnsi="Arial" w:eastAsia="Arial"/>
          <w:color w:val="000000"/>
          <w:sz w:val="22"/>
          <w:szCs w:val="22"/>
          <w:u w:color="000000"/>
        </w:rPr>
      </w:pPr>
    </w:p>
    <w:p>
      <w:pPr>
        <w:pStyle w:val="Body"/>
      </w:pPr>
      <w:r>
        <w:rPr>
          <w:rFonts w:ascii="Arial" w:cs="Arial" w:hAnsi="Arial" w:eastAsia="Arial"/>
          <w:sz w:val="22"/>
          <w:szCs w:val="22"/>
        </w:rPr>
      </w:r>
    </w:p>
    <w:sectPr>
      <w:headerReference w:type="default" r:id="rId4"/>
      <w:footerReference w:type="default" r:id="rId5"/>
      <w:pgSz w:w="12240" w:h="15840" w:orient="portrait"/>
      <w:pgMar w:top="219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w:jc w:val="center"/>
    </w:pPr>
    <w:r>
      <w:rPr>
        <w:rStyle w:val="apple-converted-space"/>
        <w:b w:val="1"/>
        <w:bCs w:val="1"/>
      </w:rPr>
      <w:drawing>
        <wp:inline distT="0" distB="0" distL="0" distR="0">
          <wp:extent cx="1464945" cy="77914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1">
                    <a:extLst/>
                  </a:blip>
                  <a:stretch>
                    <a:fillRect/>
                  </a:stretch>
                </pic:blipFill>
                <pic:spPr>
                  <a:xfrm>
                    <a:off x="0" y="0"/>
                    <a:ext cx="1464945" cy="779145"/>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320"/>
        <w:tab w:val="right" w:pos="864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apple-converted-space">
    <w:name w:val="apple-converted-space"/>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character" w:styleId="Link">
    <w:name w:val="Link"/>
    <w:rPr>
      <w:color w:val="0000ff"/>
      <w:u w:val="single" w:color="0000ff"/>
    </w:rPr>
  </w:style>
  <w:style w:type="character" w:styleId="Hyperlink.0">
    <w:name w:val="Hyperlink.0"/>
    <w:basedOn w:val="Link"/>
    <w:next w:val="Hyperlink.0"/>
    <w:rPr>
      <w:rFonts w:ascii="Arial" w:cs="Arial" w:hAnsi="Arial" w:eastAsia="Arial"/>
      <w:sz w:val="22"/>
      <w:szCs w:val="22"/>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header1.xml.rels><?xml version="1.0" encoding="UTF-8" standalone="yes"?><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